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BEA056" w14:textId="1CA811C0" w:rsidR="003A66F1" w:rsidRDefault="003C2F7A">
      <w:pPr>
        <w:ind w:left="360"/>
        <w:jc w:val="center"/>
        <w:rPr>
          <w:rFonts w:ascii="Times New Roman" w:eastAsia="方正小标宋简体" w:hAnsi="Times New Roman" w:cs="Times New Roman"/>
          <w:b/>
          <w:color w:val="000000" w:themeColor="text1"/>
          <w:sz w:val="44"/>
          <w:szCs w:val="44"/>
        </w:rPr>
      </w:pPr>
      <w:r>
        <w:rPr>
          <w:rFonts w:ascii="Times New Roman" w:eastAsia="方正小标宋简体" w:hAnsi="Times New Roman" w:cs="Times New Roman" w:hint="eastAsia"/>
          <w:b/>
          <w:color w:val="000000" w:themeColor="text1"/>
          <w:sz w:val="44"/>
          <w:szCs w:val="44"/>
        </w:rPr>
        <w:t>831</w:t>
      </w:r>
      <w:r>
        <w:rPr>
          <w:rFonts w:ascii="Times New Roman" w:eastAsia="方正小标宋简体" w:hAnsi="Times New Roman" w:cs="Times New Roman" w:hint="eastAsia"/>
          <w:b/>
          <w:color w:val="000000" w:themeColor="text1"/>
          <w:sz w:val="44"/>
          <w:szCs w:val="44"/>
        </w:rPr>
        <w:t>—</w:t>
      </w:r>
      <w:r w:rsidR="00425C05">
        <w:rPr>
          <w:rFonts w:ascii="Times New Roman" w:eastAsia="方正小标宋简体" w:hAnsi="Times New Roman" w:cs="Times New Roman" w:hint="eastAsia"/>
          <w:b/>
          <w:color w:val="000000" w:themeColor="text1"/>
          <w:sz w:val="44"/>
          <w:szCs w:val="44"/>
        </w:rPr>
        <w:t>《</w:t>
      </w:r>
      <w:r>
        <w:rPr>
          <w:rFonts w:ascii="Times New Roman" w:eastAsia="方正小标宋简体" w:hAnsi="Times New Roman" w:cs="Times New Roman" w:hint="eastAsia"/>
          <w:b/>
          <w:color w:val="000000" w:themeColor="text1"/>
          <w:sz w:val="44"/>
          <w:szCs w:val="44"/>
        </w:rPr>
        <w:t>经济学基础</w:t>
      </w:r>
      <w:r w:rsidR="00425C05">
        <w:rPr>
          <w:rFonts w:ascii="Times New Roman" w:eastAsia="方正小标宋简体" w:hAnsi="Times New Roman" w:cs="Times New Roman" w:hint="eastAsia"/>
          <w:b/>
          <w:color w:val="000000" w:themeColor="text1"/>
          <w:sz w:val="44"/>
          <w:szCs w:val="44"/>
        </w:rPr>
        <w:t>》</w:t>
      </w:r>
      <w:bookmarkStart w:id="0" w:name="_GoBack"/>
      <w:bookmarkEnd w:id="0"/>
      <w:r>
        <w:rPr>
          <w:rFonts w:ascii="Times New Roman" w:eastAsia="方正小标宋简体" w:hAnsi="Times New Roman" w:cs="Times New Roman" w:hint="eastAsia"/>
          <w:b/>
          <w:color w:val="000000" w:themeColor="text1"/>
          <w:sz w:val="44"/>
          <w:szCs w:val="44"/>
        </w:rPr>
        <w:t>考试大纲</w:t>
      </w:r>
    </w:p>
    <w:p w14:paraId="43888A52" w14:textId="77777777" w:rsidR="003A66F1" w:rsidRDefault="003C2F7A">
      <w:pPr>
        <w:spacing w:line="360" w:lineRule="auto"/>
        <w:jc w:val="center"/>
        <w:rPr>
          <w:rFonts w:ascii="仿宋" w:eastAsia="仿宋" w:hAnsi="仿宋"/>
          <w:b/>
          <w:color w:val="000000" w:themeColor="text1"/>
          <w:szCs w:val="21"/>
        </w:rPr>
      </w:pPr>
      <w:r>
        <w:rPr>
          <w:rFonts w:ascii="Times New Roman" w:eastAsia="方正仿宋_GB2312" w:hAnsi="Times New Roman" w:hint="eastAsia"/>
          <w:color w:val="FF0000"/>
          <w:szCs w:val="21"/>
        </w:rPr>
        <w:t>（研究生招生考试属于择优选拔性考试，考试大纲及书目仅供参考，考试内容及题型可包括但不仅限于以上范围，主要考察考生分析和解决问题的能力。）</w:t>
      </w:r>
    </w:p>
    <w:p w14:paraId="157928F2" w14:textId="77777777" w:rsidR="003A66F1" w:rsidRDefault="003C2F7A">
      <w:pPr>
        <w:spacing w:line="360" w:lineRule="auto"/>
        <w:jc w:val="center"/>
        <w:rPr>
          <w:rFonts w:ascii="方正小标宋简体" w:eastAsia="方正小标宋简体" w:hAnsi="方正小标宋简体" w:cs="方正小标宋简体"/>
          <w:sz w:val="30"/>
          <w:szCs w:val="30"/>
        </w:rPr>
      </w:pPr>
      <w:r>
        <w:rPr>
          <w:rFonts w:ascii="方正小标宋简体" w:eastAsia="方正小标宋简体" w:hAnsi="方正小标宋简体" w:cs="方正小标宋简体" w:hint="eastAsia"/>
          <w:sz w:val="30"/>
          <w:szCs w:val="30"/>
        </w:rPr>
        <w:t>一、考试目标</w:t>
      </w:r>
    </w:p>
    <w:p w14:paraId="32EE1639" w14:textId="77777777" w:rsidR="003A66F1" w:rsidRDefault="003C2F7A">
      <w:pPr>
        <w:ind w:left="105" w:firstLineChars="218" w:firstLine="523"/>
        <w:rPr>
          <w:rFonts w:ascii="Times New Roman" w:eastAsia="方正仿宋_GB2312" w:hAnsi="Times New Roman"/>
          <w:bCs/>
          <w:color w:val="000000" w:themeColor="text1"/>
          <w:sz w:val="24"/>
          <w:szCs w:val="28"/>
        </w:rPr>
      </w:pPr>
      <w:r>
        <w:rPr>
          <w:rFonts w:ascii="Times New Roman" w:eastAsia="方正仿宋_GB2312" w:hAnsi="Times New Roman" w:hint="eastAsia"/>
          <w:bCs/>
          <w:color w:val="000000" w:themeColor="text1"/>
          <w:sz w:val="24"/>
          <w:szCs w:val="28"/>
        </w:rPr>
        <w:t>“经济学基础”是公共管理类硕士研究生入学考试科目之一。它要求学生全面系统地掌握属于经济学基础的基本概念和基本理论，熟悉经济运行的一般原理以及政府对国民经济进行宏观调控的依据和方法，并能够对现实中政府的各项经济政策进行分析和判断。经济学的基础理论、分析框架和研究方法对于管理类学生和实际的管理工作者而言，是分析客观经济事件、</w:t>
      </w:r>
      <w:proofErr w:type="gramStart"/>
      <w:r>
        <w:rPr>
          <w:rFonts w:ascii="Times New Roman" w:eastAsia="方正仿宋_GB2312" w:hAnsi="Times New Roman" w:hint="eastAsia"/>
          <w:bCs/>
          <w:color w:val="000000" w:themeColor="text1"/>
          <w:sz w:val="24"/>
          <w:szCs w:val="28"/>
        </w:rPr>
        <w:t>开阔管理</w:t>
      </w:r>
      <w:proofErr w:type="gramEnd"/>
      <w:r>
        <w:rPr>
          <w:rFonts w:ascii="Times New Roman" w:eastAsia="方正仿宋_GB2312" w:hAnsi="Times New Roman" w:hint="eastAsia"/>
          <w:bCs/>
          <w:color w:val="000000" w:themeColor="text1"/>
          <w:sz w:val="24"/>
          <w:szCs w:val="28"/>
        </w:rPr>
        <w:t>思路的重要工具。本科目要求考生系统掌握经济学学科的基本知识、基础理论和基本方法，能运用相关理论和方法理解、分析现实问题，并给出若干解决思路。</w:t>
      </w:r>
    </w:p>
    <w:p w14:paraId="510D7514" w14:textId="77777777" w:rsidR="003A66F1" w:rsidRDefault="003C2F7A">
      <w:pPr>
        <w:pStyle w:val="a6"/>
        <w:ind w:firstLineChars="0" w:firstLine="0"/>
        <w:jc w:val="center"/>
        <w:rPr>
          <w:rFonts w:ascii="方正小标宋简体" w:eastAsia="方正小标宋简体" w:hAnsi="方正小标宋简体" w:cs="方正小标宋简体"/>
          <w:sz w:val="30"/>
          <w:szCs w:val="30"/>
        </w:rPr>
      </w:pPr>
      <w:r>
        <w:rPr>
          <w:rFonts w:ascii="方正小标宋简体" w:eastAsia="方正小标宋简体" w:hAnsi="方正小标宋简体" w:cs="方正小标宋简体" w:hint="eastAsia"/>
          <w:sz w:val="30"/>
          <w:szCs w:val="30"/>
        </w:rPr>
        <w:t>二、考试形式与试卷结构</w:t>
      </w:r>
    </w:p>
    <w:p w14:paraId="3D9B69BE" w14:textId="77777777" w:rsidR="003A66F1" w:rsidRDefault="003C2F7A">
      <w:pPr>
        <w:pStyle w:val="a6"/>
        <w:ind w:firstLine="560"/>
        <w:rPr>
          <w:rFonts w:ascii="Times New Roman" w:eastAsia="方正仿宋_GB2312" w:hAnsi="Times New Roman"/>
          <w:color w:val="000000" w:themeColor="text1"/>
          <w:sz w:val="28"/>
          <w:szCs w:val="28"/>
        </w:rPr>
      </w:pPr>
      <w:r>
        <w:rPr>
          <w:rFonts w:ascii="Times New Roman" w:eastAsia="方正仿宋_GB2312" w:hAnsi="Times New Roman" w:hint="eastAsia"/>
          <w:color w:val="000000" w:themeColor="text1"/>
          <w:sz w:val="28"/>
          <w:szCs w:val="28"/>
        </w:rPr>
        <w:t>（一）试卷分值及考试时间</w:t>
      </w:r>
    </w:p>
    <w:p w14:paraId="1825E677" w14:textId="77777777" w:rsidR="003A66F1" w:rsidRDefault="003C2F7A">
      <w:pPr>
        <w:pStyle w:val="a6"/>
        <w:ind w:firstLine="560"/>
        <w:rPr>
          <w:rFonts w:ascii="Times New Roman" w:eastAsia="方正仿宋_GB2312" w:hAnsi="Times New Roman"/>
          <w:color w:val="000000" w:themeColor="text1"/>
          <w:sz w:val="28"/>
          <w:szCs w:val="28"/>
        </w:rPr>
      </w:pPr>
      <w:r>
        <w:rPr>
          <w:rFonts w:ascii="Times New Roman" w:eastAsia="方正仿宋_GB2312" w:hAnsi="Times New Roman" w:hint="eastAsia"/>
          <w:color w:val="000000" w:themeColor="text1"/>
          <w:sz w:val="28"/>
          <w:szCs w:val="28"/>
        </w:rPr>
        <w:t>本试卷满分为</w:t>
      </w:r>
      <w:r>
        <w:rPr>
          <w:rFonts w:ascii="Times New Roman" w:eastAsia="方正仿宋_GB2312" w:hAnsi="Times New Roman" w:hint="eastAsia"/>
          <w:color w:val="000000" w:themeColor="text1"/>
          <w:sz w:val="28"/>
          <w:szCs w:val="28"/>
        </w:rPr>
        <w:t>150</w:t>
      </w:r>
      <w:r>
        <w:rPr>
          <w:rFonts w:ascii="Times New Roman" w:eastAsia="方正仿宋_GB2312" w:hAnsi="Times New Roman" w:hint="eastAsia"/>
          <w:color w:val="000000" w:themeColor="text1"/>
          <w:sz w:val="28"/>
          <w:szCs w:val="28"/>
        </w:rPr>
        <w:t>分，考试时间为</w:t>
      </w:r>
      <w:r>
        <w:rPr>
          <w:rFonts w:ascii="Times New Roman" w:eastAsia="方正仿宋_GB2312" w:hAnsi="Times New Roman" w:hint="eastAsia"/>
          <w:color w:val="000000" w:themeColor="text1"/>
          <w:sz w:val="28"/>
          <w:szCs w:val="28"/>
        </w:rPr>
        <w:t>180</w:t>
      </w:r>
      <w:r>
        <w:rPr>
          <w:rFonts w:ascii="Times New Roman" w:eastAsia="方正仿宋_GB2312" w:hAnsi="Times New Roman" w:hint="eastAsia"/>
          <w:color w:val="000000" w:themeColor="text1"/>
          <w:sz w:val="28"/>
          <w:szCs w:val="28"/>
        </w:rPr>
        <w:t>分钟。</w:t>
      </w:r>
    </w:p>
    <w:p w14:paraId="5DDA2578" w14:textId="77777777" w:rsidR="003A66F1" w:rsidRDefault="003C2F7A">
      <w:pPr>
        <w:pStyle w:val="a6"/>
        <w:ind w:firstLine="560"/>
        <w:rPr>
          <w:rFonts w:ascii="Times New Roman" w:eastAsia="方正仿宋_GB2312" w:hAnsi="Times New Roman"/>
          <w:color w:val="000000" w:themeColor="text1"/>
          <w:sz w:val="28"/>
          <w:szCs w:val="28"/>
        </w:rPr>
      </w:pPr>
      <w:r>
        <w:rPr>
          <w:rFonts w:ascii="Times New Roman" w:eastAsia="方正仿宋_GB2312" w:hAnsi="Times New Roman" w:hint="eastAsia"/>
          <w:color w:val="000000" w:themeColor="text1"/>
          <w:sz w:val="28"/>
          <w:szCs w:val="28"/>
        </w:rPr>
        <w:t>（二）答题方式</w:t>
      </w:r>
    </w:p>
    <w:p w14:paraId="784E903F" w14:textId="77777777" w:rsidR="003A66F1" w:rsidRDefault="003C2F7A">
      <w:pPr>
        <w:pStyle w:val="a6"/>
        <w:ind w:firstLine="560"/>
        <w:rPr>
          <w:rFonts w:ascii="Times New Roman" w:eastAsia="方正仿宋_GB2312" w:hAnsi="Times New Roman"/>
          <w:color w:val="000000" w:themeColor="text1"/>
          <w:sz w:val="28"/>
          <w:szCs w:val="28"/>
        </w:rPr>
      </w:pPr>
      <w:r>
        <w:rPr>
          <w:rFonts w:ascii="Times New Roman" w:eastAsia="方正仿宋_GB2312" w:hAnsi="Times New Roman" w:hint="eastAsia"/>
          <w:color w:val="000000" w:themeColor="text1"/>
          <w:sz w:val="28"/>
          <w:szCs w:val="28"/>
        </w:rPr>
        <w:t>答题方式为闭卷、笔试。</w:t>
      </w:r>
    </w:p>
    <w:p w14:paraId="62148DB8" w14:textId="77777777" w:rsidR="003A66F1" w:rsidRDefault="003C2F7A">
      <w:pPr>
        <w:pStyle w:val="a6"/>
        <w:ind w:firstLine="560"/>
        <w:rPr>
          <w:rFonts w:ascii="Times New Roman" w:eastAsia="方正仿宋_GB2312" w:hAnsi="Times New Roman"/>
          <w:color w:val="000000" w:themeColor="text1"/>
          <w:sz w:val="28"/>
          <w:szCs w:val="28"/>
        </w:rPr>
      </w:pPr>
      <w:r>
        <w:rPr>
          <w:rFonts w:ascii="Times New Roman" w:eastAsia="方正仿宋_GB2312" w:hAnsi="Times New Roman" w:hint="eastAsia"/>
          <w:color w:val="000000" w:themeColor="text1"/>
          <w:sz w:val="28"/>
          <w:szCs w:val="28"/>
        </w:rPr>
        <w:t>（三）试卷题型结构</w:t>
      </w:r>
    </w:p>
    <w:p w14:paraId="45CA3705" w14:textId="77777777" w:rsidR="003A66F1" w:rsidRDefault="003C2F7A">
      <w:pPr>
        <w:pStyle w:val="a6"/>
        <w:ind w:firstLine="560"/>
        <w:rPr>
          <w:rFonts w:ascii="Times New Roman" w:eastAsia="方正仿宋_GB2312" w:hAnsi="Times New Roman"/>
          <w:color w:val="000000" w:themeColor="text1"/>
          <w:sz w:val="28"/>
          <w:szCs w:val="28"/>
        </w:rPr>
        <w:sectPr w:rsidR="003A66F1">
          <w:pgSz w:w="11906" w:h="16838"/>
          <w:pgMar w:top="1440" w:right="1800" w:bottom="1440" w:left="1800" w:header="851" w:footer="992" w:gutter="0"/>
          <w:cols w:space="425"/>
          <w:docGrid w:type="lines" w:linePitch="312"/>
        </w:sectPr>
      </w:pPr>
      <w:r>
        <w:rPr>
          <w:rFonts w:ascii="Times New Roman" w:eastAsia="方正仿宋_GB2312" w:hAnsi="Times New Roman" w:hint="eastAsia"/>
          <w:color w:val="000000" w:themeColor="text1"/>
          <w:sz w:val="28"/>
          <w:szCs w:val="28"/>
        </w:rPr>
        <w:t>试卷可能包括的题型有：名词解释、简答题、论述题、案例分析题、计算分析题、材料分析题。</w:t>
      </w:r>
    </w:p>
    <w:p w14:paraId="773E6910" w14:textId="77777777" w:rsidR="003A66F1" w:rsidRDefault="003C2F7A">
      <w:pPr>
        <w:jc w:val="center"/>
        <w:rPr>
          <w:rFonts w:ascii="方正小标宋简体" w:eastAsia="方正小标宋简体" w:hAnsi="方正小标宋简体" w:cs="方正小标宋简体"/>
          <w:sz w:val="30"/>
          <w:szCs w:val="30"/>
        </w:rPr>
      </w:pPr>
      <w:r>
        <w:rPr>
          <w:rFonts w:ascii="方正小标宋简体" w:eastAsia="方正小标宋简体" w:hAnsi="方正小标宋简体" w:cs="方正小标宋简体" w:hint="eastAsia"/>
          <w:sz w:val="30"/>
          <w:szCs w:val="30"/>
        </w:rPr>
        <w:lastRenderedPageBreak/>
        <w:t>三、考试内容</w:t>
      </w:r>
    </w:p>
    <w:p w14:paraId="4827DDED"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一、需求、供给与价格均衡</w:t>
      </w:r>
    </w:p>
    <w:p w14:paraId="0AB64A02"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（一）需求</w:t>
      </w:r>
    </w:p>
    <w:p w14:paraId="6813B1BC"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需求、需求量</w:t>
      </w:r>
    </w:p>
    <w:p w14:paraId="4558999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需求曲线</w:t>
      </w:r>
    </w:p>
    <w:p w14:paraId="774AEAF3"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（二）供给</w:t>
      </w:r>
    </w:p>
    <w:p w14:paraId="3E18996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供给、供给量</w:t>
      </w:r>
    </w:p>
    <w:p w14:paraId="4F012863"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供给曲线</w:t>
      </w:r>
    </w:p>
    <w:p w14:paraId="6E6FAA8C"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（三）市场均衡</w:t>
      </w:r>
    </w:p>
    <w:p w14:paraId="322E45B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均衡产量</w:t>
      </w:r>
    </w:p>
    <w:p w14:paraId="7DE82C0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均衡价格</w:t>
      </w:r>
    </w:p>
    <w:p w14:paraId="465E1F1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蛛网模型</w:t>
      </w:r>
    </w:p>
    <w:p w14:paraId="049D0DA8"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（四）弹性</w:t>
      </w:r>
    </w:p>
    <w:p w14:paraId="3A813FCC"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需求弹性</w:t>
      </w:r>
    </w:p>
    <w:p w14:paraId="1BB2066E"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供给弹性</w:t>
      </w:r>
    </w:p>
    <w:p w14:paraId="6D63AFED"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二、消费者选择</w:t>
      </w:r>
    </w:p>
    <w:p w14:paraId="03D224B0"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（一）效用理论</w:t>
      </w:r>
    </w:p>
    <w:p w14:paraId="1EFD340C"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基数效用论</w:t>
      </w:r>
    </w:p>
    <w:p w14:paraId="0038396D"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序数效用论</w:t>
      </w:r>
    </w:p>
    <w:p w14:paraId="564251C2"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边际效用递减规律</w:t>
      </w:r>
    </w:p>
    <w:p w14:paraId="01429739"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（二）消费者均衡</w:t>
      </w:r>
    </w:p>
    <w:p w14:paraId="725C1B85"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无差异曲线</w:t>
      </w:r>
    </w:p>
    <w:p w14:paraId="1F55511D"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lastRenderedPageBreak/>
        <w:t>2.</w:t>
      </w:r>
      <w:r>
        <w:rPr>
          <w:rFonts w:ascii="Times New Roman" w:eastAsia="方正仿宋_GB2312" w:hAnsi="Times New Roman" w:cs="Times New Roman" w:hint="eastAsia"/>
          <w:color w:val="000000" w:themeColor="text1"/>
          <w:sz w:val="28"/>
          <w:szCs w:val="28"/>
        </w:rPr>
        <w:t>预算约束线</w:t>
      </w:r>
    </w:p>
    <w:p w14:paraId="7F85C2A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消费者均衡条件</w:t>
      </w:r>
    </w:p>
    <w:p w14:paraId="66B4CBD3"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（三）替代效应和收入效应</w:t>
      </w:r>
    </w:p>
    <w:p w14:paraId="28495739"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价格变动的替代效应</w:t>
      </w:r>
    </w:p>
    <w:p w14:paraId="19768948"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价格变动的收入效应</w:t>
      </w:r>
    </w:p>
    <w:p w14:paraId="5EE1B84E"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三、企业的生产和成本</w:t>
      </w:r>
    </w:p>
    <w:p w14:paraId="4C01A10E"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（一）企业与生产函数</w:t>
      </w:r>
    </w:p>
    <w:p w14:paraId="35EF233D"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企业的类型与企业的目标</w:t>
      </w:r>
    </w:p>
    <w:p w14:paraId="63C7433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生产和生产函数</w:t>
      </w:r>
    </w:p>
    <w:p w14:paraId="6033B45E"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（二）短期生产函数</w:t>
      </w:r>
    </w:p>
    <w:p w14:paraId="65F284CE"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总产量、平均产量和边际产量</w:t>
      </w:r>
    </w:p>
    <w:p w14:paraId="3A25B4E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边际报酬递减规律</w:t>
      </w:r>
    </w:p>
    <w:p w14:paraId="25B5AB92"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生产的三个阶段</w:t>
      </w:r>
    </w:p>
    <w:p w14:paraId="09BA312D"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（三）长期生产函数</w:t>
      </w:r>
    </w:p>
    <w:p w14:paraId="367A045A"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等产量线</w:t>
      </w:r>
    </w:p>
    <w:p w14:paraId="122BE6BA"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等成本线</w:t>
      </w:r>
    </w:p>
    <w:p w14:paraId="46113963"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生产者均衡</w:t>
      </w:r>
    </w:p>
    <w:p w14:paraId="3F39E621"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（四）短期成本函数</w:t>
      </w:r>
    </w:p>
    <w:p w14:paraId="0B06A9C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短期成本曲线</w:t>
      </w:r>
    </w:p>
    <w:p w14:paraId="484CA09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短期成本曲线之间的关系</w:t>
      </w:r>
    </w:p>
    <w:p w14:paraId="75B412BD"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四、完全竞争市场</w:t>
      </w:r>
    </w:p>
    <w:p w14:paraId="092B193A" w14:textId="77777777" w:rsidR="003A66F1" w:rsidRDefault="003C2F7A">
      <w:pPr>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（一）市场结构和企业收益</w:t>
      </w:r>
    </w:p>
    <w:p w14:paraId="5774A44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lastRenderedPageBreak/>
        <w:t>1.</w:t>
      </w:r>
      <w:r>
        <w:rPr>
          <w:rFonts w:ascii="Times New Roman" w:eastAsia="方正仿宋_GB2312" w:hAnsi="Times New Roman" w:cs="Times New Roman" w:hint="eastAsia"/>
          <w:color w:val="000000" w:themeColor="text1"/>
          <w:sz w:val="28"/>
          <w:szCs w:val="28"/>
        </w:rPr>
        <w:t>市场结构及其划分依据</w:t>
      </w:r>
    </w:p>
    <w:p w14:paraId="08A94C1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企业利润最大化</w:t>
      </w:r>
    </w:p>
    <w:p w14:paraId="346952D6"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（二）完全竞争企业</w:t>
      </w:r>
    </w:p>
    <w:p w14:paraId="39D7884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完全竞争企业面临的需求曲线</w:t>
      </w:r>
    </w:p>
    <w:p w14:paraId="4CD4381D"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完全竞争企业的收益曲线</w:t>
      </w:r>
    </w:p>
    <w:p w14:paraId="6C1D63FE"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（三）完全竞争企业的短期均衡</w:t>
      </w:r>
    </w:p>
    <w:p w14:paraId="67F23006"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利润最大化产量的决定</w:t>
      </w:r>
    </w:p>
    <w:p w14:paraId="00B0D030"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利润最大化和盈亏</w:t>
      </w:r>
    </w:p>
    <w:p w14:paraId="629230B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企业的短期均衡</w:t>
      </w:r>
    </w:p>
    <w:p w14:paraId="3A87F2D1"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五、不完全竞争市场</w:t>
      </w:r>
    </w:p>
    <w:p w14:paraId="6BB352D8"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（一）垄断</w:t>
      </w:r>
    </w:p>
    <w:p w14:paraId="2109733E"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垄断的含义及原因</w:t>
      </w:r>
    </w:p>
    <w:p w14:paraId="755CB795"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垄断企业的短期和长期均衡</w:t>
      </w:r>
    </w:p>
    <w:p w14:paraId="2DE3E6A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垄断和价格歧视</w:t>
      </w:r>
    </w:p>
    <w:p w14:paraId="723BDBFF"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（二）垄断竞争</w:t>
      </w:r>
    </w:p>
    <w:p w14:paraId="74EE0C1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垄断竞争的特点</w:t>
      </w:r>
    </w:p>
    <w:p w14:paraId="04B8892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垄断竞争企业的短期均衡</w:t>
      </w:r>
    </w:p>
    <w:p w14:paraId="2F625018"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六、要素市场和收入分配</w:t>
      </w:r>
    </w:p>
    <w:p w14:paraId="747A419B"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（一）劳动和工资</w:t>
      </w:r>
    </w:p>
    <w:p w14:paraId="5A22F6ED"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劳动供给和闲暇</w:t>
      </w:r>
    </w:p>
    <w:p w14:paraId="672A17C3"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劳动供给曲线</w:t>
      </w:r>
    </w:p>
    <w:p w14:paraId="75BD71B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替代效应和收入效应</w:t>
      </w:r>
    </w:p>
    <w:p w14:paraId="1E02534B"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lastRenderedPageBreak/>
        <w:t>4.</w:t>
      </w:r>
      <w:r>
        <w:rPr>
          <w:rFonts w:ascii="Times New Roman" w:eastAsia="方正仿宋_GB2312" w:hAnsi="Times New Roman" w:cs="Times New Roman" w:hint="eastAsia"/>
          <w:color w:val="000000" w:themeColor="text1"/>
          <w:sz w:val="28"/>
          <w:szCs w:val="28"/>
        </w:rPr>
        <w:t>劳动市场均衡和工资决定</w:t>
      </w:r>
    </w:p>
    <w:p w14:paraId="2A5854A4" w14:textId="77777777" w:rsidR="003A66F1" w:rsidRDefault="003C2F7A">
      <w:pPr>
        <w:jc w:val="left"/>
        <w:rPr>
          <w:rFonts w:ascii="Times New Roman" w:eastAsia="方正仿宋_GB2312" w:hAnsi="Times New Roman" w:cs="Times New Roman"/>
          <w:b/>
          <w:bCs/>
          <w:color w:val="000000" w:themeColor="text1"/>
          <w:sz w:val="28"/>
          <w:szCs w:val="28"/>
        </w:rPr>
      </w:pPr>
      <w:r>
        <w:rPr>
          <w:rFonts w:ascii="Times New Roman" w:eastAsia="方正仿宋_GB2312" w:hAnsi="Times New Roman" w:cs="Times New Roman" w:hint="eastAsia"/>
          <w:b/>
          <w:bCs/>
          <w:color w:val="000000" w:themeColor="text1"/>
          <w:sz w:val="28"/>
          <w:szCs w:val="28"/>
        </w:rPr>
        <w:t>（二）土地和地租</w:t>
      </w:r>
    </w:p>
    <w:p w14:paraId="6B2871FE"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土地供给曲线</w:t>
      </w:r>
    </w:p>
    <w:p w14:paraId="2B0F0E4A"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土地价格和地租</w:t>
      </w:r>
    </w:p>
    <w:p w14:paraId="2D83AC0A"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（三）资本和利息</w:t>
      </w:r>
    </w:p>
    <w:p w14:paraId="54D48233"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资本和利息的概念</w:t>
      </w:r>
    </w:p>
    <w:p w14:paraId="483E75D2"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资本的供给和资本市场均衡</w:t>
      </w:r>
    </w:p>
    <w:p w14:paraId="2B33E0C4"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七、市场失灵和微观经济政策</w:t>
      </w:r>
    </w:p>
    <w:p w14:paraId="6AD1AFC4"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（一）垄断</w:t>
      </w:r>
    </w:p>
    <w:p w14:paraId="5AAEB39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垄断与低效率</w:t>
      </w:r>
    </w:p>
    <w:p w14:paraId="2D72313A"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对垄断的规制</w:t>
      </w:r>
    </w:p>
    <w:p w14:paraId="5889FEBB"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（二）外部性</w:t>
      </w:r>
    </w:p>
    <w:p w14:paraId="4EAC13B3"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外部性的含义</w:t>
      </w:r>
    </w:p>
    <w:p w14:paraId="26EE9393"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外部性与市场失灵</w:t>
      </w:r>
    </w:p>
    <w:p w14:paraId="4D1959FF"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应对外部性的微观经济政策</w:t>
      </w:r>
    </w:p>
    <w:p w14:paraId="2B8312C9"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（三）公共物品</w:t>
      </w:r>
    </w:p>
    <w:p w14:paraId="10A3FF0F"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公共物品的特征</w:t>
      </w:r>
    </w:p>
    <w:p w14:paraId="520741F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公共物品与市场失灵</w:t>
      </w:r>
    </w:p>
    <w:p w14:paraId="4586AED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公共物品的供给政策</w:t>
      </w:r>
    </w:p>
    <w:p w14:paraId="5AE55DC7"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八、宏观经济指标及其衡量</w:t>
      </w:r>
    </w:p>
    <w:p w14:paraId="22EBD22B"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（一）国内生产总值（</w:t>
      </w:r>
      <w:r>
        <w:rPr>
          <w:rFonts w:ascii="Times New Roman" w:eastAsia="方正仿宋_GB2312" w:hAnsi="Times New Roman" w:cs="Times New Roman" w:hint="eastAsia"/>
          <w:b/>
          <w:bCs/>
          <w:sz w:val="28"/>
          <w:szCs w:val="28"/>
        </w:rPr>
        <w:t>GDP</w:t>
      </w:r>
      <w:r>
        <w:rPr>
          <w:rFonts w:ascii="Times New Roman" w:eastAsia="方正仿宋_GB2312" w:hAnsi="Times New Roman" w:cs="Times New Roman" w:hint="eastAsia"/>
          <w:b/>
          <w:bCs/>
          <w:sz w:val="28"/>
          <w:szCs w:val="28"/>
        </w:rPr>
        <w:t>）</w:t>
      </w:r>
    </w:p>
    <w:p w14:paraId="1EDEDC4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国内生产总值的概念</w:t>
      </w:r>
    </w:p>
    <w:p w14:paraId="76A06375"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lastRenderedPageBreak/>
        <w:t>2.</w:t>
      </w:r>
      <w:r>
        <w:rPr>
          <w:rFonts w:ascii="Times New Roman" w:eastAsia="方正仿宋_GB2312" w:hAnsi="Times New Roman" w:cs="Times New Roman" w:hint="eastAsia"/>
          <w:color w:val="000000" w:themeColor="text1"/>
          <w:sz w:val="28"/>
          <w:szCs w:val="28"/>
        </w:rPr>
        <w:t>国内生产总值的衡量</w:t>
      </w:r>
    </w:p>
    <w:p w14:paraId="34FA44F6"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名义国内生产总值与实际国内生产总值</w:t>
      </w:r>
    </w:p>
    <w:p w14:paraId="50405EE0"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4.</w:t>
      </w:r>
      <w:r>
        <w:rPr>
          <w:rFonts w:ascii="Times New Roman" w:eastAsia="方正仿宋_GB2312" w:hAnsi="Times New Roman" w:cs="Times New Roman" w:hint="eastAsia"/>
          <w:color w:val="000000" w:themeColor="text1"/>
          <w:sz w:val="28"/>
          <w:szCs w:val="28"/>
        </w:rPr>
        <w:t>国民生产总值、可支配收入等其他重要指标</w:t>
      </w:r>
    </w:p>
    <w:p w14:paraId="538906A5"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（二）价格水平</w:t>
      </w:r>
    </w:p>
    <w:p w14:paraId="74EE3126"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衡量价格水平的主要指标</w:t>
      </w:r>
    </w:p>
    <w:p w14:paraId="4B32B366"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通货膨胀与通货紧缩</w:t>
      </w:r>
    </w:p>
    <w:p w14:paraId="50E4A919"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滞涨</w:t>
      </w:r>
    </w:p>
    <w:p w14:paraId="31C5488B"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（三）就业状况</w:t>
      </w:r>
    </w:p>
    <w:p w14:paraId="5251AE1B"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失业的类型</w:t>
      </w:r>
    </w:p>
    <w:p w14:paraId="718D9BD6"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充分就业与自然失业率</w:t>
      </w:r>
    </w:p>
    <w:p w14:paraId="3A710DE7" w14:textId="77777777" w:rsidR="003A66F1" w:rsidRDefault="003C2F7A">
      <w:pPr>
        <w:ind w:firstLineChars="200" w:firstLine="560"/>
        <w:jc w:val="left"/>
        <w:rPr>
          <w:rFonts w:ascii="Times New Roman" w:eastAsia="方正仿宋_GB2312" w:hAnsi="Times New Roman" w:cs="Times New Roman"/>
          <w:b/>
          <w:bCs/>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失业的衡量</w:t>
      </w:r>
    </w:p>
    <w:p w14:paraId="1C1DD0E6"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九、国民收入的决定：收入－支出模型</w:t>
      </w:r>
    </w:p>
    <w:p w14:paraId="74022DF9"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（一）均衡国民收入的决定</w:t>
      </w:r>
    </w:p>
    <w:p w14:paraId="5B70C028"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均衡国民收入的决定原理和基本方向</w:t>
      </w:r>
    </w:p>
    <w:p w14:paraId="0E3182D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两部门经济下的有效需求</w:t>
      </w:r>
    </w:p>
    <w:p w14:paraId="607376AB"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（二）两部门经济：家庭部门</w:t>
      </w:r>
    </w:p>
    <w:p w14:paraId="79349293"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消费函数</w:t>
      </w:r>
    </w:p>
    <w:p w14:paraId="7E5AB08C"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储蓄函数</w:t>
      </w:r>
    </w:p>
    <w:p w14:paraId="379DAB7E"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消费函数和储蓄函数的关系</w:t>
      </w:r>
    </w:p>
    <w:p w14:paraId="59BE220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4.</w:t>
      </w:r>
      <w:r>
        <w:rPr>
          <w:rFonts w:ascii="Times New Roman" w:eastAsia="方正仿宋_GB2312" w:hAnsi="Times New Roman" w:cs="Times New Roman" w:hint="eastAsia"/>
          <w:color w:val="000000" w:themeColor="text1"/>
          <w:sz w:val="28"/>
          <w:szCs w:val="28"/>
        </w:rPr>
        <w:t>家庭消费函数和社会消费函数</w:t>
      </w:r>
    </w:p>
    <w:p w14:paraId="38899C8D"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（三）两部门经济：企业部门</w:t>
      </w:r>
    </w:p>
    <w:p w14:paraId="67AB3346"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资本边际效率</w:t>
      </w:r>
    </w:p>
    <w:p w14:paraId="18545DD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lastRenderedPageBreak/>
        <w:t>2.</w:t>
      </w:r>
      <w:r>
        <w:rPr>
          <w:rFonts w:ascii="Times New Roman" w:eastAsia="方正仿宋_GB2312" w:hAnsi="Times New Roman" w:cs="Times New Roman" w:hint="eastAsia"/>
          <w:color w:val="000000" w:themeColor="text1"/>
          <w:sz w:val="28"/>
          <w:szCs w:val="28"/>
        </w:rPr>
        <w:t>影响预期收益的因素</w:t>
      </w:r>
    </w:p>
    <w:p w14:paraId="21866080"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投资和利率</w:t>
      </w:r>
    </w:p>
    <w:p w14:paraId="15B3ED94"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（四）三部门经济：政府部门</w:t>
      </w:r>
    </w:p>
    <w:p w14:paraId="4AF31B9F"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政府需求</w:t>
      </w:r>
    </w:p>
    <w:p w14:paraId="5882630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政府对社会总需求的影响</w:t>
      </w:r>
    </w:p>
    <w:p w14:paraId="78647A02"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十、国民收入的决定：</w:t>
      </w:r>
      <w:r>
        <w:rPr>
          <w:rFonts w:ascii="Times New Roman" w:eastAsia="方正仿宋_GB2312" w:hAnsi="Times New Roman" w:cs="Times New Roman" w:hint="eastAsia"/>
          <w:b/>
          <w:bCs/>
          <w:sz w:val="28"/>
          <w:szCs w:val="28"/>
        </w:rPr>
        <w:t>IS-LM</w:t>
      </w:r>
      <w:r>
        <w:rPr>
          <w:rFonts w:ascii="Times New Roman" w:eastAsia="方正仿宋_GB2312" w:hAnsi="Times New Roman" w:cs="Times New Roman" w:hint="eastAsia"/>
          <w:b/>
          <w:bCs/>
          <w:sz w:val="28"/>
          <w:szCs w:val="28"/>
        </w:rPr>
        <w:t>模型</w:t>
      </w:r>
    </w:p>
    <w:p w14:paraId="3B63C40B"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（一）产品市场均衡</w:t>
      </w:r>
    </w:p>
    <w:p w14:paraId="20B9DD8D"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1.IS</w:t>
      </w:r>
      <w:r>
        <w:rPr>
          <w:rFonts w:ascii="Times New Roman" w:eastAsia="方正仿宋_GB2312" w:hAnsi="Times New Roman" w:cs="Times New Roman" w:hint="eastAsia"/>
          <w:color w:val="000000" w:themeColor="text1"/>
          <w:sz w:val="28"/>
          <w:szCs w:val="28"/>
        </w:rPr>
        <w:t>曲线概念和内涵</w:t>
      </w:r>
    </w:p>
    <w:p w14:paraId="4499373A"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2.IS</w:t>
      </w:r>
      <w:r>
        <w:rPr>
          <w:rFonts w:ascii="Times New Roman" w:eastAsia="方正仿宋_GB2312" w:hAnsi="Times New Roman" w:cs="Times New Roman" w:hint="eastAsia"/>
          <w:color w:val="000000" w:themeColor="text1"/>
          <w:sz w:val="28"/>
          <w:szCs w:val="28"/>
        </w:rPr>
        <w:t>曲线的斜率及其变动</w:t>
      </w:r>
    </w:p>
    <w:p w14:paraId="0F2CB2C9"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（二）货币市场均衡</w:t>
      </w:r>
    </w:p>
    <w:p w14:paraId="1E3E1C8F"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货币的需求和供给</w:t>
      </w:r>
    </w:p>
    <w:p w14:paraId="37238EDB"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2.LM</w:t>
      </w:r>
      <w:r>
        <w:rPr>
          <w:rFonts w:ascii="Times New Roman" w:eastAsia="方正仿宋_GB2312" w:hAnsi="Times New Roman" w:cs="Times New Roman" w:hint="eastAsia"/>
          <w:color w:val="000000" w:themeColor="text1"/>
          <w:sz w:val="28"/>
          <w:szCs w:val="28"/>
        </w:rPr>
        <w:t>曲线的概念和内涵</w:t>
      </w:r>
    </w:p>
    <w:p w14:paraId="03667145"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3.LM</w:t>
      </w:r>
      <w:r>
        <w:rPr>
          <w:rFonts w:ascii="Times New Roman" w:eastAsia="方正仿宋_GB2312" w:hAnsi="Times New Roman" w:cs="Times New Roman" w:hint="eastAsia"/>
          <w:color w:val="000000" w:themeColor="text1"/>
          <w:sz w:val="28"/>
          <w:szCs w:val="28"/>
        </w:rPr>
        <w:t>曲线的斜率及其变动</w:t>
      </w:r>
    </w:p>
    <w:p w14:paraId="232B9227"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（三）产品市场和货币市场的共同均衡</w:t>
      </w:r>
    </w:p>
    <w:p w14:paraId="7DA98139"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产品市场和货币市场的共同均衡：</w:t>
      </w:r>
      <w:r>
        <w:rPr>
          <w:rFonts w:ascii="Times New Roman" w:eastAsia="方正仿宋_GB2312" w:hAnsi="Times New Roman" w:cs="Times New Roman" w:hint="eastAsia"/>
          <w:color w:val="000000" w:themeColor="text1"/>
          <w:sz w:val="28"/>
          <w:szCs w:val="28"/>
        </w:rPr>
        <w:t>IS-LM</w:t>
      </w:r>
      <w:r>
        <w:rPr>
          <w:rFonts w:ascii="Times New Roman" w:eastAsia="方正仿宋_GB2312" w:hAnsi="Times New Roman" w:cs="Times New Roman" w:hint="eastAsia"/>
          <w:color w:val="000000" w:themeColor="text1"/>
          <w:sz w:val="28"/>
          <w:szCs w:val="28"/>
        </w:rPr>
        <w:t>模型</w:t>
      </w:r>
    </w:p>
    <w:p w14:paraId="67BE48EE" w14:textId="77777777" w:rsidR="003A66F1" w:rsidRDefault="003C2F7A">
      <w:pPr>
        <w:ind w:firstLineChars="200" w:firstLine="560"/>
        <w:jc w:val="left"/>
        <w:rPr>
          <w:rFonts w:ascii="Times New Roman" w:eastAsia="方正仿宋_GB2312" w:hAnsi="Times New Roman" w:cs="Times New Roman"/>
          <w:b/>
          <w:bCs/>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产品市场和货币市场共同均衡的调整和变动</w:t>
      </w:r>
    </w:p>
    <w:p w14:paraId="19293661"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十一、国民收入的决定：</w:t>
      </w:r>
      <w:r>
        <w:rPr>
          <w:rFonts w:ascii="Times New Roman" w:eastAsia="方正仿宋_GB2312" w:hAnsi="Times New Roman" w:cs="Times New Roman" w:hint="eastAsia"/>
          <w:b/>
          <w:bCs/>
          <w:sz w:val="28"/>
          <w:szCs w:val="28"/>
        </w:rPr>
        <w:t>AD-AS</w:t>
      </w:r>
      <w:r>
        <w:rPr>
          <w:rFonts w:ascii="Times New Roman" w:eastAsia="方正仿宋_GB2312" w:hAnsi="Times New Roman" w:cs="Times New Roman" w:hint="eastAsia"/>
          <w:b/>
          <w:bCs/>
          <w:sz w:val="28"/>
          <w:szCs w:val="28"/>
        </w:rPr>
        <w:t>模型</w:t>
      </w:r>
    </w:p>
    <w:p w14:paraId="487E1AF5"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（一）</w:t>
      </w:r>
      <w:r>
        <w:rPr>
          <w:rFonts w:ascii="Times New Roman" w:eastAsia="方正仿宋_GB2312" w:hAnsi="Times New Roman" w:cs="Times New Roman" w:hint="eastAsia"/>
          <w:b/>
          <w:bCs/>
          <w:sz w:val="28"/>
          <w:szCs w:val="28"/>
        </w:rPr>
        <w:t>AD</w:t>
      </w:r>
      <w:r>
        <w:rPr>
          <w:rFonts w:ascii="Times New Roman" w:eastAsia="方正仿宋_GB2312" w:hAnsi="Times New Roman" w:cs="Times New Roman" w:hint="eastAsia"/>
          <w:b/>
          <w:bCs/>
          <w:sz w:val="28"/>
          <w:szCs w:val="28"/>
        </w:rPr>
        <w:t>曲线及其变动</w:t>
      </w:r>
    </w:p>
    <w:p w14:paraId="16D80B2E"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1.AD</w:t>
      </w:r>
      <w:r>
        <w:rPr>
          <w:rFonts w:ascii="Times New Roman" w:eastAsia="方正仿宋_GB2312" w:hAnsi="Times New Roman" w:cs="Times New Roman" w:hint="eastAsia"/>
          <w:color w:val="000000" w:themeColor="text1"/>
          <w:sz w:val="28"/>
          <w:szCs w:val="28"/>
        </w:rPr>
        <w:t>曲线的含义和相关效应</w:t>
      </w:r>
    </w:p>
    <w:p w14:paraId="0093C30D"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2.AD</w:t>
      </w:r>
      <w:r>
        <w:rPr>
          <w:rFonts w:ascii="Times New Roman" w:eastAsia="方正仿宋_GB2312" w:hAnsi="Times New Roman" w:cs="Times New Roman" w:hint="eastAsia"/>
          <w:color w:val="000000" w:themeColor="text1"/>
          <w:sz w:val="28"/>
          <w:szCs w:val="28"/>
        </w:rPr>
        <w:t>曲线的变动和影响因素</w:t>
      </w:r>
    </w:p>
    <w:p w14:paraId="32F7A419"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（二）</w:t>
      </w:r>
      <w:r>
        <w:rPr>
          <w:rFonts w:ascii="Times New Roman" w:eastAsia="方正仿宋_GB2312" w:hAnsi="Times New Roman" w:cs="Times New Roman" w:hint="eastAsia"/>
          <w:b/>
          <w:bCs/>
          <w:sz w:val="28"/>
          <w:szCs w:val="28"/>
        </w:rPr>
        <w:t>AS</w:t>
      </w:r>
      <w:r>
        <w:rPr>
          <w:rFonts w:ascii="Times New Roman" w:eastAsia="方正仿宋_GB2312" w:hAnsi="Times New Roman" w:cs="Times New Roman" w:hint="eastAsia"/>
          <w:b/>
          <w:bCs/>
          <w:sz w:val="28"/>
          <w:szCs w:val="28"/>
        </w:rPr>
        <w:t>曲线及其变动</w:t>
      </w:r>
    </w:p>
    <w:p w14:paraId="0F2C4975"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1.AS</w:t>
      </w:r>
      <w:r>
        <w:rPr>
          <w:rFonts w:ascii="Times New Roman" w:eastAsia="方正仿宋_GB2312" w:hAnsi="Times New Roman" w:cs="Times New Roman" w:hint="eastAsia"/>
          <w:color w:val="000000" w:themeColor="text1"/>
          <w:sz w:val="28"/>
          <w:szCs w:val="28"/>
        </w:rPr>
        <w:t>曲线的含义</w:t>
      </w:r>
    </w:p>
    <w:p w14:paraId="1F8043E5"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lastRenderedPageBreak/>
        <w:t>2.AS</w:t>
      </w:r>
      <w:r>
        <w:rPr>
          <w:rFonts w:ascii="Times New Roman" w:eastAsia="方正仿宋_GB2312" w:hAnsi="Times New Roman" w:cs="Times New Roman" w:hint="eastAsia"/>
          <w:color w:val="000000" w:themeColor="text1"/>
          <w:sz w:val="28"/>
          <w:szCs w:val="28"/>
        </w:rPr>
        <w:t>曲线的变动和影响因素</w:t>
      </w:r>
    </w:p>
    <w:p w14:paraId="08554C60"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3.AS</w:t>
      </w:r>
      <w:r>
        <w:rPr>
          <w:rFonts w:ascii="Times New Roman" w:eastAsia="方正仿宋_GB2312" w:hAnsi="Times New Roman" w:cs="Times New Roman" w:hint="eastAsia"/>
          <w:color w:val="000000" w:themeColor="text1"/>
          <w:sz w:val="28"/>
          <w:szCs w:val="28"/>
        </w:rPr>
        <w:t>曲线不同特征的经济含义</w:t>
      </w:r>
    </w:p>
    <w:p w14:paraId="4F175B67"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（三）</w:t>
      </w:r>
      <w:r>
        <w:rPr>
          <w:rFonts w:ascii="Times New Roman" w:eastAsia="方正仿宋_GB2312" w:hAnsi="Times New Roman" w:cs="Times New Roman" w:hint="eastAsia"/>
          <w:b/>
          <w:bCs/>
          <w:sz w:val="28"/>
          <w:szCs w:val="28"/>
        </w:rPr>
        <w:t>AD-AS</w:t>
      </w:r>
      <w:r>
        <w:rPr>
          <w:rFonts w:ascii="Times New Roman" w:eastAsia="方正仿宋_GB2312" w:hAnsi="Times New Roman" w:cs="Times New Roman" w:hint="eastAsia"/>
          <w:b/>
          <w:bCs/>
          <w:sz w:val="28"/>
          <w:szCs w:val="28"/>
        </w:rPr>
        <w:t>模型</w:t>
      </w:r>
    </w:p>
    <w:p w14:paraId="286169FE"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1.AD-AS</w:t>
      </w:r>
      <w:r>
        <w:rPr>
          <w:rFonts w:ascii="Times New Roman" w:eastAsia="方正仿宋_GB2312" w:hAnsi="Times New Roman" w:cs="Times New Roman" w:hint="eastAsia"/>
          <w:color w:val="000000" w:themeColor="text1"/>
          <w:sz w:val="28"/>
          <w:szCs w:val="28"/>
        </w:rPr>
        <w:t>模型的含义</w:t>
      </w:r>
    </w:p>
    <w:p w14:paraId="57BAC1FE"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2.AD-AS</w:t>
      </w:r>
      <w:r>
        <w:rPr>
          <w:rFonts w:ascii="Times New Roman" w:eastAsia="方正仿宋_GB2312" w:hAnsi="Times New Roman" w:cs="Times New Roman" w:hint="eastAsia"/>
          <w:color w:val="000000" w:themeColor="text1"/>
          <w:sz w:val="28"/>
          <w:szCs w:val="28"/>
        </w:rPr>
        <w:t>模型的基本类型</w:t>
      </w:r>
    </w:p>
    <w:p w14:paraId="0F6E47D7"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十二、失业、通货膨胀和经济周期</w:t>
      </w:r>
    </w:p>
    <w:p w14:paraId="49A48342"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（一）失业</w:t>
      </w:r>
    </w:p>
    <w:p w14:paraId="0E37FF13"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失业的宏观经济学解释</w:t>
      </w:r>
    </w:p>
    <w:p w14:paraId="00ADEAE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失业的影响和</w:t>
      </w:r>
      <w:proofErr w:type="gramStart"/>
      <w:r>
        <w:rPr>
          <w:rFonts w:ascii="Times New Roman" w:eastAsia="方正仿宋_GB2312" w:hAnsi="Times New Roman" w:cs="Times New Roman" w:hint="eastAsia"/>
          <w:color w:val="000000" w:themeColor="text1"/>
          <w:sz w:val="28"/>
          <w:szCs w:val="28"/>
        </w:rPr>
        <w:t>奥肯定</w:t>
      </w:r>
      <w:proofErr w:type="gramEnd"/>
      <w:r>
        <w:rPr>
          <w:rFonts w:ascii="Times New Roman" w:eastAsia="方正仿宋_GB2312" w:hAnsi="Times New Roman" w:cs="Times New Roman" w:hint="eastAsia"/>
          <w:color w:val="000000" w:themeColor="text1"/>
          <w:sz w:val="28"/>
          <w:szCs w:val="28"/>
        </w:rPr>
        <w:t>律</w:t>
      </w:r>
    </w:p>
    <w:p w14:paraId="7EA3B166"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（二）通货膨胀</w:t>
      </w:r>
    </w:p>
    <w:p w14:paraId="6F5DFA5F"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通货膨胀的类型和原因</w:t>
      </w:r>
    </w:p>
    <w:p w14:paraId="74F00688"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通货膨胀的影响</w:t>
      </w:r>
    </w:p>
    <w:p w14:paraId="399AC11D"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（三）经济周期</w:t>
      </w:r>
    </w:p>
    <w:p w14:paraId="6643CA22"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经济周期的定义、阶段和类型</w:t>
      </w:r>
    </w:p>
    <w:p w14:paraId="7A4C2C7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经济周期理论</w:t>
      </w:r>
    </w:p>
    <w:p w14:paraId="655C03EA"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十三、宏观经济政策</w:t>
      </w:r>
    </w:p>
    <w:p w14:paraId="3E167DA0"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（一）宏观经济政策目标</w:t>
      </w:r>
    </w:p>
    <w:p w14:paraId="67F65AAC"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宏观经济政策目标体系</w:t>
      </w:r>
    </w:p>
    <w:p w14:paraId="31668A93"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宏观经济政策目标的抉择</w:t>
      </w:r>
    </w:p>
    <w:p w14:paraId="62312E22"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（二）财政政策</w:t>
      </w:r>
    </w:p>
    <w:p w14:paraId="74555C8F"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财政政策工具</w:t>
      </w:r>
    </w:p>
    <w:p w14:paraId="2AF49082"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自动稳定器和相机抉择的财政政策</w:t>
      </w:r>
    </w:p>
    <w:p w14:paraId="0C95B35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lastRenderedPageBreak/>
        <w:t>3.</w:t>
      </w:r>
      <w:r>
        <w:rPr>
          <w:rFonts w:ascii="Times New Roman" w:eastAsia="方正仿宋_GB2312" w:hAnsi="Times New Roman" w:cs="Times New Roman" w:hint="eastAsia"/>
          <w:color w:val="000000" w:themeColor="text1"/>
          <w:sz w:val="28"/>
          <w:szCs w:val="28"/>
        </w:rPr>
        <w:t>财政政策效应</w:t>
      </w:r>
    </w:p>
    <w:p w14:paraId="10162CCA"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（三）货币政策</w:t>
      </w:r>
    </w:p>
    <w:p w14:paraId="716FC649"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货币政策工具</w:t>
      </w:r>
    </w:p>
    <w:p w14:paraId="3B9E3216"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货币乘数和货币供给</w:t>
      </w:r>
    </w:p>
    <w:p w14:paraId="1E882A5E"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货币政策效应</w:t>
      </w:r>
    </w:p>
    <w:p w14:paraId="4FB3C0F0"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（四）财政政策和货币政策的协调</w:t>
      </w:r>
    </w:p>
    <w:p w14:paraId="174B114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财政政策的局限性</w:t>
      </w:r>
    </w:p>
    <w:p w14:paraId="7B6FDDE9"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货币政策的局限性</w:t>
      </w:r>
    </w:p>
    <w:p w14:paraId="0360A01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财政政策和货币政策的协调</w:t>
      </w:r>
    </w:p>
    <w:p w14:paraId="1E98CD7F"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十四、公共选择理论</w:t>
      </w:r>
    </w:p>
    <w:p w14:paraId="2EF95150"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（一）简单多数规则</w:t>
      </w:r>
    </w:p>
    <w:p w14:paraId="5CF881DA"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政治均衡的概念</w:t>
      </w:r>
    </w:p>
    <w:p w14:paraId="49E44F0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投票与决策</w:t>
      </w:r>
    </w:p>
    <w:p w14:paraId="7109889D"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中间投票者和中间投票者定理</w:t>
      </w:r>
    </w:p>
    <w:p w14:paraId="051E558B"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（二）投票交易</w:t>
      </w:r>
    </w:p>
    <w:p w14:paraId="7BE14A7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proofErr w:type="gramStart"/>
      <w:r>
        <w:rPr>
          <w:rFonts w:ascii="Times New Roman" w:eastAsia="方正仿宋_GB2312" w:hAnsi="Times New Roman" w:cs="Times New Roman" w:hint="eastAsia"/>
          <w:color w:val="000000" w:themeColor="text1"/>
          <w:sz w:val="28"/>
          <w:szCs w:val="28"/>
        </w:rPr>
        <w:t>互投赞成票</w:t>
      </w:r>
      <w:proofErr w:type="gramEnd"/>
      <w:r>
        <w:rPr>
          <w:rFonts w:ascii="Times New Roman" w:eastAsia="方正仿宋_GB2312" w:hAnsi="Times New Roman" w:cs="Times New Roman" w:hint="eastAsia"/>
          <w:color w:val="000000" w:themeColor="text1"/>
          <w:sz w:val="28"/>
          <w:szCs w:val="28"/>
        </w:rPr>
        <w:t>与投票交易</w:t>
      </w:r>
    </w:p>
    <w:p w14:paraId="2EF18A4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隐含的投票交易</w:t>
      </w:r>
    </w:p>
    <w:p w14:paraId="1736E5A1"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（三）政治行为的分析</w:t>
      </w:r>
    </w:p>
    <w:p w14:paraId="1AE13EF3"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投票者参与投票的动因</w:t>
      </w:r>
    </w:p>
    <w:p w14:paraId="7FBF1B86"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政治家（政党）与选票极大化</w:t>
      </w:r>
    </w:p>
    <w:p w14:paraId="1145B58F"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官僚主义与公共物品的供给</w:t>
      </w:r>
    </w:p>
    <w:p w14:paraId="6C7375FC" w14:textId="77777777" w:rsidR="003A66F1" w:rsidRDefault="003C2F7A">
      <w:pPr>
        <w:ind w:firstLineChars="200" w:firstLine="560"/>
        <w:jc w:val="left"/>
        <w:rPr>
          <w:rFonts w:ascii="Times New Roman" w:eastAsia="方正仿宋_GB2312" w:hAnsi="Times New Roman" w:cs="Times New Roman"/>
          <w:sz w:val="28"/>
          <w:szCs w:val="28"/>
        </w:rPr>
      </w:pPr>
      <w:r>
        <w:rPr>
          <w:rFonts w:ascii="Times New Roman" w:eastAsia="方正仿宋_GB2312" w:hAnsi="Times New Roman" w:cs="Times New Roman" w:hint="eastAsia"/>
          <w:color w:val="000000" w:themeColor="text1"/>
          <w:sz w:val="28"/>
          <w:szCs w:val="28"/>
        </w:rPr>
        <w:t>4.</w:t>
      </w:r>
      <w:r>
        <w:rPr>
          <w:rFonts w:ascii="Times New Roman" w:eastAsia="方正仿宋_GB2312" w:hAnsi="Times New Roman" w:cs="Times New Roman" w:hint="eastAsia"/>
          <w:color w:val="000000" w:themeColor="text1"/>
          <w:sz w:val="28"/>
          <w:szCs w:val="28"/>
        </w:rPr>
        <w:t>特殊利益集团与政治均衡</w:t>
      </w:r>
    </w:p>
    <w:p w14:paraId="1D92D81D"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lastRenderedPageBreak/>
        <w:t>十五、公共支出</w:t>
      </w:r>
    </w:p>
    <w:p w14:paraId="7DF4F0E8"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（一）公共支出规模</w:t>
      </w:r>
    </w:p>
    <w:p w14:paraId="4B960F6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政府活动扩张论（瓦格纳法则）</w:t>
      </w:r>
    </w:p>
    <w:p w14:paraId="61F8BA6D"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梯度渐进增长论（公共支出增长的内外因素论）</w:t>
      </w:r>
    </w:p>
    <w:p w14:paraId="332424D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官员行为增长论</w:t>
      </w:r>
    </w:p>
    <w:p w14:paraId="555D0BB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4.</w:t>
      </w:r>
      <w:r>
        <w:rPr>
          <w:rFonts w:ascii="Times New Roman" w:eastAsia="方正仿宋_GB2312" w:hAnsi="Times New Roman" w:cs="Times New Roman" w:hint="eastAsia"/>
          <w:color w:val="000000" w:themeColor="text1"/>
          <w:sz w:val="28"/>
          <w:szCs w:val="28"/>
        </w:rPr>
        <w:t>多数票规则增长论（利益集团与财政错觉）</w:t>
      </w:r>
    </w:p>
    <w:p w14:paraId="08B9BA2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5.</w:t>
      </w:r>
      <w:r>
        <w:rPr>
          <w:rFonts w:ascii="Times New Roman" w:eastAsia="方正仿宋_GB2312" w:hAnsi="Times New Roman" w:cs="Times New Roman" w:hint="eastAsia"/>
          <w:color w:val="000000" w:themeColor="text1"/>
          <w:sz w:val="28"/>
          <w:szCs w:val="28"/>
        </w:rPr>
        <w:t>公共支出增长趋势的基本决定因素</w:t>
      </w:r>
    </w:p>
    <w:p w14:paraId="7B7E90F4"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（二）公共支出规模的现实分析</w:t>
      </w:r>
    </w:p>
    <w:p w14:paraId="54431961"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（三）公共支出结构</w:t>
      </w:r>
    </w:p>
    <w:p w14:paraId="17AF0C89"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公共支出分类与构成</w:t>
      </w:r>
    </w:p>
    <w:p w14:paraId="3D10003B"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公共支出结构的决定因素</w:t>
      </w:r>
    </w:p>
    <w:p w14:paraId="075821A0"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（四）公共支出项目</w:t>
      </w:r>
    </w:p>
    <w:p w14:paraId="5E9D343F"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行政管理支出</w:t>
      </w:r>
    </w:p>
    <w:p w14:paraId="1F2946CD"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国防支出</w:t>
      </w:r>
    </w:p>
    <w:p w14:paraId="6DEE73A3"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公共投资支出</w:t>
      </w:r>
    </w:p>
    <w:p w14:paraId="2FDF748F"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4.</w:t>
      </w:r>
      <w:r>
        <w:rPr>
          <w:rFonts w:ascii="Times New Roman" w:eastAsia="方正仿宋_GB2312" w:hAnsi="Times New Roman" w:cs="Times New Roman" w:hint="eastAsia"/>
          <w:color w:val="000000" w:themeColor="text1"/>
          <w:sz w:val="28"/>
          <w:szCs w:val="28"/>
        </w:rPr>
        <w:t>社会保障支出</w:t>
      </w:r>
    </w:p>
    <w:p w14:paraId="492769D3"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（五）公共支出效率</w:t>
      </w:r>
    </w:p>
    <w:p w14:paraId="1A6D105D"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（六）政府采购制度</w:t>
      </w:r>
    </w:p>
    <w:p w14:paraId="0B536DB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政府采购制度的意义</w:t>
      </w:r>
    </w:p>
    <w:p w14:paraId="40FA11BB"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政府采购制度的基本内容</w:t>
      </w:r>
    </w:p>
    <w:p w14:paraId="307041C1" w14:textId="77777777" w:rsidR="003A66F1" w:rsidRDefault="003C2F7A">
      <w:pPr>
        <w:ind w:firstLineChars="200" w:firstLine="560"/>
        <w:jc w:val="left"/>
        <w:rPr>
          <w:rFonts w:ascii="Times New Roman" w:eastAsia="方正仿宋_GB2312" w:hAnsi="Times New Roman" w:cs="Times New Roman"/>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政府采购合同的类型</w:t>
      </w:r>
    </w:p>
    <w:p w14:paraId="0DB243C0"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十六、公共收入</w:t>
      </w:r>
    </w:p>
    <w:p w14:paraId="0CA2840C"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lastRenderedPageBreak/>
        <w:t>（一）公共收入体系</w:t>
      </w:r>
    </w:p>
    <w:p w14:paraId="7AB5611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税收</w:t>
      </w:r>
    </w:p>
    <w:p w14:paraId="4B7B9039"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收费</w:t>
      </w:r>
    </w:p>
    <w:p w14:paraId="753415FD"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货币创造</w:t>
      </w:r>
    </w:p>
    <w:p w14:paraId="67A4D5AF"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4.</w:t>
      </w:r>
      <w:r>
        <w:rPr>
          <w:rFonts w:ascii="Times New Roman" w:eastAsia="方正仿宋_GB2312" w:hAnsi="Times New Roman" w:cs="Times New Roman" w:hint="eastAsia"/>
          <w:color w:val="000000" w:themeColor="text1"/>
          <w:sz w:val="28"/>
          <w:szCs w:val="28"/>
        </w:rPr>
        <w:t>公债</w:t>
      </w:r>
    </w:p>
    <w:p w14:paraId="221AAF2C"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（二）公共收入规模</w:t>
      </w:r>
    </w:p>
    <w:p w14:paraId="745CD4E2"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公共收入规模的演变</w:t>
      </w:r>
    </w:p>
    <w:p w14:paraId="5C4C45E2"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公共收入规模的国际比较</w:t>
      </w:r>
    </w:p>
    <w:p w14:paraId="782301FC"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公共收入规模的决定因素</w:t>
      </w:r>
    </w:p>
    <w:p w14:paraId="5BC57174"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（三）公共收入结构</w:t>
      </w:r>
    </w:p>
    <w:p w14:paraId="62BBA92B"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无偿收入与有偿收入比</w:t>
      </w:r>
    </w:p>
    <w:p w14:paraId="73B5341A"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预算内收入与预算外收入比</w:t>
      </w:r>
    </w:p>
    <w:p w14:paraId="56AA7CE6" w14:textId="77777777" w:rsidR="003A66F1" w:rsidRDefault="003C2F7A">
      <w:pPr>
        <w:ind w:firstLineChars="200" w:firstLine="560"/>
        <w:jc w:val="left"/>
        <w:rPr>
          <w:rFonts w:ascii="Times New Roman" w:eastAsia="方正仿宋_GB2312" w:hAnsi="Times New Roman" w:cs="Times New Roman"/>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税收收入与非税收收入比</w:t>
      </w:r>
    </w:p>
    <w:p w14:paraId="01644E6F"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十七、税收</w:t>
      </w:r>
    </w:p>
    <w:p w14:paraId="21D40364"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（一）税收原理</w:t>
      </w:r>
    </w:p>
    <w:p w14:paraId="3569D0D0"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税收要素与分类</w:t>
      </w:r>
    </w:p>
    <w:p w14:paraId="07B624E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税收原则</w:t>
      </w:r>
    </w:p>
    <w:p w14:paraId="33922559"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税收转嫁</w:t>
      </w:r>
    </w:p>
    <w:p w14:paraId="555E8A0C"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（二）税收的经济影响</w:t>
      </w:r>
    </w:p>
    <w:p w14:paraId="5F61A035"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税收的收入效应和替代效应</w:t>
      </w:r>
    </w:p>
    <w:p w14:paraId="2784D5BE"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税收对个人储蓄的影响</w:t>
      </w:r>
    </w:p>
    <w:p w14:paraId="2B7E865D"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税收对劳动供给的影响</w:t>
      </w:r>
    </w:p>
    <w:p w14:paraId="21B2B36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lastRenderedPageBreak/>
        <w:t>4.</w:t>
      </w:r>
      <w:r>
        <w:rPr>
          <w:rFonts w:ascii="Times New Roman" w:eastAsia="方正仿宋_GB2312" w:hAnsi="Times New Roman" w:cs="Times New Roman" w:hint="eastAsia"/>
          <w:color w:val="000000" w:themeColor="text1"/>
          <w:sz w:val="28"/>
          <w:szCs w:val="28"/>
        </w:rPr>
        <w:t>税收对企业投资的影响</w:t>
      </w:r>
    </w:p>
    <w:p w14:paraId="1BBF7E46"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5.</w:t>
      </w:r>
      <w:r>
        <w:rPr>
          <w:rFonts w:ascii="Times New Roman" w:eastAsia="方正仿宋_GB2312" w:hAnsi="Times New Roman" w:cs="Times New Roman" w:hint="eastAsia"/>
          <w:color w:val="000000" w:themeColor="text1"/>
          <w:sz w:val="28"/>
          <w:szCs w:val="28"/>
        </w:rPr>
        <w:t>税收对收入分配的影响</w:t>
      </w:r>
    </w:p>
    <w:p w14:paraId="5BFC2CAE"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6.</w:t>
      </w:r>
      <w:r>
        <w:rPr>
          <w:rFonts w:ascii="Times New Roman" w:eastAsia="方正仿宋_GB2312" w:hAnsi="Times New Roman" w:cs="Times New Roman" w:hint="eastAsia"/>
          <w:color w:val="000000" w:themeColor="text1"/>
          <w:sz w:val="28"/>
          <w:szCs w:val="28"/>
        </w:rPr>
        <w:t>税收对环境保护的影响</w:t>
      </w:r>
    </w:p>
    <w:p w14:paraId="12728123"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（三）税收制度</w:t>
      </w:r>
    </w:p>
    <w:p w14:paraId="3629ADD5"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税收制度的基本范畴</w:t>
      </w:r>
    </w:p>
    <w:p w14:paraId="60FCE7D9"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税种设置理论与实践</w:t>
      </w:r>
    </w:p>
    <w:p w14:paraId="50C03EC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主要税种介绍</w:t>
      </w:r>
    </w:p>
    <w:p w14:paraId="75B34AC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4.</w:t>
      </w:r>
      <w:r>
        <w:rPr>
          <w:rFonts w:ascii="Times New Roman" w:eastAsia="方正仿宋_GB2312" w:hAnsi="Times New Roman" w:cs="Times New Roman" w:hint="eastAsia"/>
          <w:color w:val="000000" w:themeColor="text1"/>
          <w:sz w:val="28"/>
          <w:szCs w:val="28"/>
        </w:rPr>
        <w:t>税制结构的决定因素</w:t>
      </w:r>
    </w:p>
    <w:p w14:paraId="3588865B"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（四）税制改革</w:t>
      </w:r>
    </w:p>
    <w:p w14:paraId="1472D145"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税制改革的原因</w:t>
      </w:r>
    </w:p>
    <w:p w14:paraId="613C1FA2" w14:textId="77777777" w:rsidR="003A66F1" w:rsidRDefault="003C2F7A">
      <w:pPr>
        <w:ind w:firstLineChars="200" w:firstLine="560"/>
        <w:jc w:val="left"/>
        <w:rPr>
          <w:rFonts w:ascii="Times New Roman" w:eastAsia="方正仿宋_GB2312" w:hAnsi="Times New Roman" w:cs="Times New Roman"/>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税制改革的理论基础</w:t>
      </w:r>
    </w:p>
    <w:p w14:paraId="6E61EF52"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十八、财政赤字与公债</w:t>
      </w:r>
    </w:p>
    <w:p w14:paraId="6652AB03"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（一）财政赤字的基本问题</w:t>
      </w:r>
    </w:p>
    <w:p w14:paraId="79453096"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如何理解财政平衡</w:t>
      </w:r>
    </w:p>
    <w:p w14:paraId="7A0E76A9"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财政赤字</w:t>
      </w:r>
    </w:p>
    <w:p w14:paraId="7F0AA8F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财政赤字的规模</w:t>
      </w:r>
    </w:p>
    <w:p w14:paraId="784DA77C"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4.</w:t>
      </w:r>
      <w:r>
        <w:rPr>
          <w:rFonts w:ascii="Times New Roman" w:eastAsia="方正仿宋_GB2312" w:hAnsi="Times New Roman" w:cs="Times New Roman" w:hint="eastAsia"/>
          <w:color w:val="000000" w:themeColor="text1"/>
          <w:sz w:val="28"/>
          <w:szCs w:val="28"/>
        </w:rPr>
        <w:t>财政赤字的经济影响</w:t>
      </w:r>
    </w:p>
    <w:p w14:paraId="534CEE8D"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（二）公债</w:t>
      </w:r>
    </w:p>
    <w:p w14:paraId="41CDF46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公债规模</w:t>
      </w:r>
    </w:p>
    <w:p w14:paraId="6C0F2D37" w14:textId="77777777" w:rsidR="003A66F1" w:rsidRDefault="003C2F7A">
      <w:pPr>
        <w:ind w:firstLineChars="200" w:firstLine="560"/>
        <w:jc w:val="left"/>
        <w:rPr>
          <w:rFonts w:ascii="Times New Roman" w:eastAsia="方正仿宋_GB2312" w:hAnsi="Times New Roman" w:cs="Times New Roman"/>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公债的经济效应</w:t>
      </w:r>
    </w:p>
    <w:p w14:paraId="31C630E5"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十九、政府间财政关系</w:t>
      </w:r>
    </w:p>
    <w:p w14:paraId="045C657E"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（一）财政关系的基本问题</w:t>
      </w:r>
    </w:p>
    <w:p w14:paraId="5FA3E1F4"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lastRenderedPageBreak/>
        <w:t>1.</w:t>
      </w:r>
      <w:r>
        <w:rPr>
          <w:rFonts w:ascii="Times New Roman" w:eastAsia="方正仿宋_GB2312" w:hAnsi="Times New Roman" w:cs="Times New Roman" w:hint="eastAsia"/>
          <w:color w:val="000000" w:themeColor="text1"/>
          <w:sz w:val="28"/>
          <w:szCs w:val="28"/>
        </w:rPr>
        <w:t>基本概念</w:t>
      </w:r>
    </w:p>
    <w:p w14:paraId="78354EC9"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财政分权</w:t>
      </w:r>
    </w:p>
    <w:p w14:paraId="6DC81CE0"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（二）支出责任安排</w:t>
      </w:r>
    </w:p>
    <w:p w14:paraId="560CBBAE"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支出责任安排的原则</w:t>
      </w:r>
    </w:p>
    <w:p w14:paraId="2DE51FDF"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支出责任安排的现状</w:t>
      </w:r>
    </w:p>
    <w:p w14:paraId="035AAE00"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（三）收入责任安排</w:t>
      </w:r>
    </w:p>
    <w:p w14:paraId="535B57E5"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收入责任安排的原则</w:t>
      </w:r>
    </w:p>
    <w:p w14:paraId="3990C8A1"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分税制</w:t>
      </w:r>
    </w:p>
    <w:p w14:paraId="627B420C" w14:textId="77777777" w:rsidR="003A66F1" w:rsidRDefault="003C2F7A">
      <w:pPr>
        <w:spacing w:line="360" w:lineRule="auto"/>
        <w:rPr>
          <w:rFonts w:ascii="Times New Roman" w:eastAsia="方正仿宋_GB2312" w:hAnsi="Times New Roman" w:cs="Times New Roman"/>
          <w:b/>
          <w:bCs/>
          <w:sz w:val="28"/>
          <w:szCs w:val="28"/>
        </w:rPr>
      </w:pPr>
      <w:r>
        <w:rPr>
          <w:rFonts w:ascii="Times New Roman" w:eastAsia="方正仿宋_GB2312" w:hAnsi="Times New Roman" w:cs="Times New Roman" w:hint="eastAsia"/>
          <w:b/>
          <w:bCs/>
          <w:sz w:val="28"/>
          <w:szCs w:val="28"/>
        </w:rPr>
        <w:t>（四）转移支付制度</w:t>
      </w:r>
    </w:p>
    <w:p w14:paraId="31CBB68A"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1.</w:t>
      </w:r>
      <w:r>
        <w:rPr>
          <w:rFonts w:ascii="Times New Roman" w:eastAsia="方正仿宋_GB2312" w:hAnsi="Times New Roman" w:cs="Times New Roman" w:hint="eastAsia"/>
          <w:color w:val="000000" w:themeColor="text1"/>
          <w:sz w:val="28"/>
          <w:szCs w:val="28"/>
        </w:rPr>
        <w:t>转移支付的必要性</w:t>
      </w:r>
    </w:p>
    <w:p w14:paraId="6AAF8857" w14:textId="77777777" w:rsidR="003A66F1" w:rsidRDefault="003C2F7A">
      <w:pPr>
        <w:ind w:firstLineChars="200" w:firstLine="560"/>
        <w:jc w:val="left"/>
        <w:rPr>
          <w:rFonts w:ascii="Times New Roman" w:eastAsia="方正仿宋_GB2312" w:hAnsi="Times New Roman" w:cs="Times New Roman"/>
          <w:color w:val="000000" w:themeColor="text1"/>
          <w:sz w:val="28"/>
          <w:szCs w:val="28"/>
        </w:rPr>
      </w:pPr>
      <w:r>
        <w:rPr>
          <w:rFonts w:ascii="Times New Roman" w:eastAsia="方正仿宋_GB2312" w:hAnsi="Times New Roman" w:cs="Times New Roman" w:hint="eastAsia"/>
          <w:color w:val="000000" w:themeColor="text1"/>
          <w:sz w:val="28"/>
          <w:szCs w:val="28"/>
        </w:rPr>
        <w:t>2.</w:t>
      </w:r>
      <w:r>
        <w:rPr>
          <w:rFonts w:ascii="Times New Roman" w:eastAsia="方正仿宋_GB2312" w:hAnsi="Times New Roman" w:cs="Times New Roman" w:hint="eastAsia"/>
          <w:color w:val="000000" w:themeColor="text1"/>
          <w:sz w:val="28"/>
          <w:szCs w:val="28"/>
        </w:rPr>
        <w:t>转移支付的形式</w:t>
      </w:r>
    </w:p>
    <w:p w14:paraId="13BB5119" w14:textId="77777777" w:rsidR="003A66F1" w:rsidRDefault="003C2F7A">
      <w:pPr>
        <w:ind w:firstLineChars="200" w:firstLine="560"/>
        <w:jc w:val="left"/>
        <w:rPr>
          <w:rFonts w:ascii="宋体" w:eastAsia="宋体" w:hAnsi="宋体"/>
          <w:color w:val="000000" w:themeColor="text1"/>
          <w:sz w:val="28"/>
          <w:szCs w:val="28"/>
        </w:rPr>
      </w:pPr>
      <w:r>
        <w:rPr>
          <w:rFonts w:ascii="Times New Roman" w:eastAsia="方正仿宋_GB2312" w:hAnsi="Times New Roman" w:cs="Times New Roman" w:hint="eastAsia"/>
          <w:color w:val="000000" w:themeColor="text1"/>
          <w:sz w:val="28"/>
          <w:szCs w:val="28"/>
        </w:rPr>
        <w:t>3.</w:t>
      </w:r>
      <w:r>
        <w:rPr>
          <w:rFonts w:ascii="Times New Roman" w:eastAsia="方正仿宋_GB2312" w:hAnsi="Times New Roman" w:cs="Times New Roman" w:hint="eastAsia"/>
          <w:color w:val="000000" w:themeColor="text1"/>
          <w:sz w:val="28"/>
          <w:szCs w:val="28"/>
        </w:rPr>
        <w:t>我国现行转移支付制度</w:t>
      </w:r>
    </w:p>
    <w:sectPr w:rsidR="003A66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方正舒体"/>
    <w:charset w:val="86"/>
    <w:family w:val="auto"/>
    <w:pitch w:val="default"/>
    <w:sig w:usb0="00000000" w:usb1="00000000" w:usb2="00000000" w:usb3="00000000" w:csb0="00040000" w:csb1="00000000"/>
  </w:font>
  <w:font w:name="方正仿宋_GB2312">
    <w:altName w:val="仿宋"/>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4ZWRjNGM5NGRmNGUyMDUxNzgzZGI5MjM4ZWFmZGEifQ=="/>
  </w:docVars>
  <w:rsids>
    <w:rsidRoot w:val="004A07BB"/>
    <w:rsid w:val="00083295"/>
    <w:rsid w:val="000A0A57"/>
    <w:rsid w:val="001509FD"/>
    <w:rsid w:val="00237579"/>
    <w:rsid w:val="00240250"/>
    <w:rsid w:val="002B42D9"/>
    <w:rsid w:val="00301ADE"/>
    <w:rsid w:val="003A66F1"/>
    <w:rsid w:val="003C2F7A"/>
    <w:rsid w:val="004063DC"/>
    <w:rsid w:val="00425C05"/>
    <w:rsid w:val="00480F70"/>
    <w:rsid w:val="004A07BB"/>
    <w:rsid w:val="004C58BD"/>
    <w:rsid w:val="004E1938"/>
    <w:rsid w:val="00506DFC"/>
    <w:rsid w:val="00527D93"/>
    <w:rsid w:val="00536721"/>
    <w:rsid w:val="00586BFB"/>
    <w:rsid w:val="005A457A"/>
    <w:rsid w:val="005C74D3"/>
    <w:rsid w:val="006563A4"/>
    <w:rsid w:val="006F463B"/>
    <w:rsid w:val="00701A3B"/>
    <w:rsid w:val="00735EDD"/>
    <w:rsid w:val="007A5AE4"/>
    <w:rsid w:val="00827879"/>
    <w:rsid w:val="008355B5"/>
    <w:rsid w:val="00850468"/>
    <w:rsid w:val="00955748"/>
    <w:rsid w:val="009758ED"/>
    <w:rsid w:val="009E239A"/>
    <w:rsid w:val="00A024A5"/>
    <w:rsid w:val="00A20EC8"/>
    <w:rsid w:val="00A92684"/>
    <w:rsid w:val="00B470BE"/>
    <w:rsid w:val="00C80A56"/>
    <w:rsid w:val="00CE4DF8"/>
    <w:rsid w:val="00D7589C"/>
    <w:rsid w:val="00D86C59"/>
    <w:rsid w:val="00DB565B"/>
    <w:rsid w:val="00DF1608"/>
    <w:rsid w:val="00E1089F"/>
    <w:rsid w:val="00E63216"/>
    <w:rsid w:val="00EB6C16"/>
    <w:rsid w:val="00ED6FDF"/>
    <w:rsid w:val="00EE0B90"/>
    <w:rsid w:val="00F075F0"/>
    <w:rsid w:val="00F14586"/>
    <w:rsid w:val="00FB7A33"/>
    <w:rsid w:val="213413B3"/>
    <w:rsid w:val="4DA70839"/>
    <w:rsid w:val="55B41754"/>
    <w:rsid w:val="5B363192"/>
    <w:rsid w:val="621A459D"/>
    <w:rsid w:val="6A1A18D0"/>
    <w:rsid w:val="6D047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qFormat/>
    <w:rPr>
      <w:rFonts w:ascii="宋体" w:eastAsia="宋体" w:hAnsi="Courier New" w:cs="Times New Roman"/>
      <w:szCs w:val="20"/>
      <w:lang w:val="zh-CN"/>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semiHidden/>
    <w:unhideWhenUsed/>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customStyle="1" w:styleId="Style7">
    <w:name w:val="_Style 7"/>
    <w:basedOn w:val="a"/>
    <w:next w:val="a6"/>
    <w:uiPriority w:val="34"/>
    <w:qFormat/>
    <w:pPr>
      <w:ind w:firstLineChars="200" w:firstLine="420"/>
    </w:pPr>
    <w:rPr>
      <w:rFonts w:ascii="Times New Roman" w:eastAsia="宋体" w:hAnsi="Times New Roman" w:cs="Times New Roman"/>
      <w:szCs w:val="20"/>
    </w:rPr>
  </w:style>
  <w:style w:type="paragraph" w:styleId="a6">
    <w:name w:val="List Paragraph"/>
    <w:basedOn w:val="a"/>
    <w:qFormat/>
    <w:pPr>
      <w:ind w:firstLineChars="200" w:firstLine="420"/>
    </w:pPr>
  </w:style>
  <w:style w:type="character" w:customStyle="1" w:styleId="a7">
    <w:name w:val="纯文本 字符"/>
    <w:basedOn w:val="a0"/>
    <w:uiPriority w:val="99"/>
    <w:semiHidden/>
    <w:qFormat/>
    <w:rPr>
      <w:rFonts w:asciiTheme="minorEastAsia" w:hAnsi="Courier New" w:cs="Courier New"/>
    </w:rPr>
  </w:style>
  <w:style w:type="character" w:customStyle="1" w:styleId="Char">
    <w:name w:val="纯文本 Char"/>
    <w:link w:val="a3"/>
    <w:qFormat/>
    <w:rPr>
      <w:rFonts w:ascii="宋体" w:eastAsia="宋体" w:hAnsi="Courier New" w:cs="Times New Roman"/>
      <w:szCs w:val="20"/>
      <w:lang w:val="zh-C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qFormat/>
    <w:rPr>
      <w:rFonts w:ascii="宋体" w:eastAsia="宋体" w:hAnsi="Courier New" w:cs="Times New Roman"/>
      <w:szCs w:val="20"/>
      <w:lang w:val="zh-CN"/>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semiHidden/>
    <w:unhideWhenUsed/>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customStyle="1" w:styleId="Style7">
    <w:name w:val="_Style 7"/>
    <w:basedOn w:val="a"/>
    <w:next w:val="a6"/>
    <w:uiPriority w:val="34"/>
    <w:qFormat/>
    <w:pPr>
      <w:ind w:firstLineChars="200" w:firstLine="420"/>
    </w:pPr>
    <w:rPr>
      <w:rFonts w:ascii="Times New Roman" w:eastAsia="宋体" w:hAnsi="Times New Roman" w:cs="Times New Roman"/>
      <w:szCs w:val="20"/>
    </w:rPr>
  </w:style>
  <w:style w:type="paragraph" w:styleId="a6">
    <w:name w:val="List Paragraph"/>
    <w:basedOn w:val="a"/>
    <w:qFormat/>
    <w:pPr>
      <w:ind w:firstLineChars="200" w:firstLine="420"/>
    </w:pPr>
  </w:style>
  <w:style w:type="character" w:customStyle="1" w:styleId="a7">
    <w:name w:val="纯文本 字符"/>
    <w:basedOn w:val="a0"/>
    <w:uiPriority w:val="99"/>
    <w:semiHidden/>
    <w:qFormat/>
    <w:rPr>
      <w:rFonts w:asciiTheme="minorEastAsia" w:hAnsi="Courier New" w:cs="Courier New"/>
    </w:rPr>
  </w:style>
  <w:style w:type="character" w:customStyle="1" w:styleId="Char">
    <w:name w:val="纯文本 Char"/>
    <w:link w:val="a3"/>
    <w:qFormat/>
    <w:rPr>
      <w:rFonts w:ascii="宋体" w:eastAsia="宋体" w:hAnsi="Courier New" w:cs="Times New Roman"/>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491</Words>
  <Characters>2801</Characters>
  <Application>Microsoft Office Word</Application>
  <DocSecurity>0</DocSecurity>
  <Lines>23</Lines>
  <Paragraphs>6</Paragraphs>
  <ScaleCrop>false</ScaleCrop>
  <Company/>
  <LinksUpToDate>false</LinksUpToDate>
  <CharactersWithSpaces>3286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XUYUANFU</cp:lastModifiedBy>
  <cp:revision>3</cp:revision>
  <dcterms:created xsi:type="dcterms:W3CDTF">2025-07-22T12:43:00Z</dcterms:created>
  <dcterms:modified xsi:type="dcterms:W3CDTF">2025-07-22T12:46:00Z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F70F441C43B84529962C4CE931F60E45_13</vt:lpwstr>
  </property>
</Properties>
</file>